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06" w:rsidRPr="00D40406" w:rsidRDefault="00D40406" w:rsidP="00D4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Going Global Revision Guide</w:t>
      </w:r>
    </w:p>
    <w:p w:rsidR="00D40406" w:rsidRPr="00D40406" w:rsidRDefault="00D40406" w:rsidP="00D4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Exam (includes Going Global and World at Risk topics</w:t>
      </w:r>
      <w:proofErr w:type="gramStart"/>
      <w:r w:rsidRPr="00D40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  <w:proofErr w:type="gramEnd"/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1 hr 30 </w:t>
      </w:r>
      <w:proofErr w:type="spellStart"/>
      <w:r w:rsidRPr="00D40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mins</w:t>
      </w:r>
      <w:proofErr w:type="spellEnd"/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0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 60% of AS/ 90 marks</w:t>
      </w: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Section A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answer all short mark questions. The questions will include; definitions of key terms, multiple choice, simple analysis of a resource, explanation based on a resource (spend around 1 hour on this section).</w:t>
      </w: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Section B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choose one longer mark question from either the Going Global or World at Risk topics, there is a choice of 4. Each question consists of two parts. The first part will refer to a resource in the resource booklet and is worth 10 marks. The second part is extended writing using your case studies and is worth 15 marks (spend around 30 </w:t>
      </w:r>
      <w:proofErr w:type="spellStart"/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mins</w:t>
      </w:r>
      <w:proofErr w:type="spellEnd"/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this section).</w:t>
      </w: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______________________________________________</w:t>
      </w: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D40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Content</w:t>
      </w:r>
      <w:proofErr w:type="gramEnd"/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(case studies are highlighted in red)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 Globalisation</w:t>
      </w:r>
    </w:p>
    <w:p w:rsidR="00D40406" w:rsidRPr="00D40406" w:rsidRDefault="00D40406" w:rsidP="00D4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What is Globalisation and how is it changing people’s lives?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Define Globalisation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What factors have accelerated globalisation?</w:t>
      </w:r>
    </w:p>
    <w:p w:rsidR="00D40406" w:rsidRPr="00D40406" w:rsidRDefault="00D40406" w:rsidP="00D4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2. Global Groupings</w:t>
      </w:r>
    </w:p>
    <w:p w:rsidR="00D40406" w:rsidRPr="00D40406" w:rsidRDefault="00D40406" w:rsidP="00D4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What are the main groupings of nations and what differences in levels of wealth exist?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 aware of the different economic and political groupings of countries e.g. NICs, OPEC, LDCs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Understand that </w:t>
      </w:r>
      <w:proofErr w:type="gramStart"/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nations</w:t>
      </w:r>
      <w:proofErr w:type="gramEnd"/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groupings and economic classification can change over time.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Understand what a trade bloc is and the advantages and disadvantages they can bring countries.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0406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For one TNC, know their HQ country and how and why it has become globalised.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Know a range of positive and negative impacts of TNCs on host countries</w:t>
      </w:r>
    </w:p>
    <w:p w:rsidR="00D40406" w:rsidRPr="00D40406" w:rsidRDefault="00D40406" w:rsidP="00D4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3. Global Networks</w:t>
      </w:r>
    </w:p>
    <w:p w:rsidR="00D40406" w:rsidRPr="00D40406" w:rsidRDefault="00D40406" w:rsidP="00D4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Why, as places and societies become more interconnected, do some show extreme wealth and poverty?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Understand why places are becoming more interconnected in the world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Know the difference between networks, flows and hubs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Understand how different places are interconnected and interdependent e.g. tourism, TNCS, flows of money, migration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Understand how technology has promoted an interconnected world e.g. telephone lines, internet, </w:t>
      </w:r>
      <w:proofErr w:type="gramStart"/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air</w:t>
      </w:r>
      <w:proofErr w:type="gramEnd"/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travel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Understand the process of cumulative causation (positive multiplier effect) and how this can create a hub such as London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0406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For one region, understand the reasons why it has become ‘switched on’ to the global economy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lastRenderedPageBreak/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0406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For one region, understand the reasons why it has become ‘switched off’ from the global economy</w:t>
      </w:r>
    </w:p>
    <w:p w:rsidR="00D40406" w:rsidRPr="00D40406" w:rsidRDefault="00D40406" w:rsidP="00D4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4. Roots</w:t>
      </w:r>
    </w:p>
    <w:p w:rsidR="00D40406" w:rsidRPr="00D40406" w:rsidRDefault="00D40406" w:rsidP="00D404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How does evidence from personal, local and national sources help us understand the pattern of population change in the UK?</w:t>
      </w:r>
    </w:p>
    <w:p w:rsidR="00D40406" w:rsidRPr="00D40406" w:rsidRDefault="00D40406" w:rsidP="00D4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Understand how population and family structures have changed in the UK in the last century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 able to describe the Demographic Transition Model and explain the changes in birth rate and death rate over time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0406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For the UK, know and understand the economic and social effects of an ageing population (positives and negatives)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5. </w:t>
      </w:r>
      <w:proofErr w:type="gramStart"/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</w:t>
      </w:r>
      <w:proofErr w:type="gramEnd"/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Move</w:t>
      </w:r>
    </w:p>
    <w:p w:rsidR="00D40406" w:rsidRPr="00D40406" w:rsidRDefault="00D40406" w:rsidP="00D404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How is migration changing the face of the EU?</w:t>
      </w:r>
    </w:p>
    <w:p w:rsidR="00D40406" w:rsidRPr="00D40406" w:rsidRDefault="00D40406" w:rsidP="00D4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Understand the difference between asylum seekers, illegal immigrants, economic migrants and refugees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 able to describe and explain migration movements into and around Europe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Recognise and understand Lee’s model of migration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Understand why the movement of Eastern Europeans has increased around Europe in recent years e.g. EU expansion, A8 countries and </w:t>
      </w:r>
      <w:proofErr w:type="spellStart"/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Schengen</w:t>
      </w:r>
      <w:proofErr w:type="spellEnd"/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Agreement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0406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Know the economic, social, environmental and political consequences of the movement between Eastern Europe and the UK (for both the host and source country)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Understand the reasons why people migrate from the UK to Spain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0406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Know the economic, social, environmental and political consequences of the movement between UK and Spain (for both the host and source country)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 World Cities</w:t>
      </w:r>
    </w:p>
    <w:p w:rsidR="00D40406" w:rsidRPr="00D40406" w:rsidRDefault="00D40406" w:rsidP="00D404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What is driving the new urbanisation taking place and what are its consequences?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key reasons for urban growth: Know a range of push and pull factors associated with rural to urban migration and understand that natural increase (high birth rates and lowering death rates) has also contributed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Recognise the urbanisation cycle and understand how urbanisation increases with economic development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Know a range of processes occurring within cities e.g. suburbanisation, re-urbanisation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 able to define and know a range of megacities and world cities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40406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Understand, for two megacities, the reasons for their growth, the consequences of their growth and how they are planning to make them more sustainable in the future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 able to define sustainable development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assess whether urban areas can be sustainable in the future</w:t>
      </w:r>
    </w:p>
    <w:p w:rsidR="00D40406" w:rsidRPr="00D40406" w:rsidRDefault="00D40406" w:rsidP="00D4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 Global Challenges for the future</w:t>
      </w:r>
    </w:p>
    <w:p w:rsidR="00D40406" w:rsidRPr="00D40406" w:rsidRDefault="00D40406" w:rsidP="00D404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What are the social and environmental consequences of globalisation and can we manage these changes for a better world?</w:t>
      </w:r>
    </w:p>
    <w:p w:rsidR="00D40406" w:rsidRPr="00D40406" w:rsidRDefault="00D40406" w:rsidP="00D4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Know a range of both positives and negative impacts of globalisation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Know a range of moral and social consequences of globalisation e.g. exploitation of workers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Know a range of local, national and global strategies to reduce the environmental and social costs of globalisation</w:t>
      </w:r>
    </w:p>
    <w:p w:rsidR="00D40406" w:rsidRPr="00D40406" w:rsidRDefault="00D40406" w:rsidP="00D404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lastRenderedPageBreak/>
        <w:t>·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Know how countries and individuals can conserve and manage resources to create a more equitable world e.g. buying locally, Fair Trade</w:t>
      </w:r>
    </w:p>
    <w:p w:rsidR="00D40406" w:rsidRPr="00D40406" w:rsidRDefault="00D40406" w:rsidP="00D4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___________________________________________________</w:t>
      </w:r>
    </w:p>
    <w:p w:rsidR="00D40406" w:rsidRPr="00D40406" w:rsidRDefault="00D40406" w:rsidP="00D4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en-GB"/>
        </w:rPr>
        <w:t>Key Case Studies</w:t>
      </w:r>
    </w:p>
    <w:p w:rsidR="00D40406" w:rsidRPr="00D40406" w:rsidRDefault="00D40406" w:rsidP="00D4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en-GB"/>
        </w:rPr>
        <w:t>UK Ageing Population</w:t>
      </w: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ageing population, or greying population has its roots in the ‘baby boom’ of 1945 – 65, when birth rates were higher than today. Those born in 1965 will be 65 in 2030, when 25% of the UK’s population will be over 65.</w:t>
      </w: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Key term: dependency ratio (the ratio of over 65s and under 16s to the working age population).</w:t>
      </w:r>
    </w:p>
    <w:p w:rsidR="00D40406" w:rsidRPr="00D40406" w:rsidRDefault="00D40406" w:rsidP="00D4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The greying population: challenges and opportunities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6"/>
        <w:gridCol w:w="3815"/>
        <w:gridCol w:w="4678"/>
      </w:tblGrid>
      <w:tr w:rsidR="00D40406" w:rsidRPr="00D40406" w:rsidTr="00D404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Challenges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Opportunities</w:t>
            </w:r>
          </w:p>
        </w:tc>
      </w:tr>
      <w:tr w:rsidR="00D40406" w:rsidRPr="00D40406" w:rsidTr="00D404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Economic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Maximising employment (</w:t>
            </w:r>
            <w:proofErr w:type="gramStart"/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80%</w:t>
            </w:r>
            <w:proofErr w:type="gramEnd"/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+) among the working age population to maximise tax revenue.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Cost of providing long term care to local councils.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NHS costs will increase, especially for longer-term treatment of chronic conditions.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General taxation may need to rise.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Skilled labour shortages may stifle economic growth.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Many older people do not want to retire at 65, allowing them to continue to work and this would increase tax revenue.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Older people have experience, which employers should perhaps value more.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‘grey’ pound may become a significant source of economic growth and new market opportunities.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Many older people have both time and money, creating a huge market for age-specific products.</w:t>
            </w:r>
          </w:p>
        </w:tc>
      </w:tr>
      <w:tr w:rsidR="00D40406" w:rsidRPr="00D40406" w:rsidTr="00D404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Social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 people live longer, housing will remain occupied, creating demand for new housing for younger people.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number of single-person retired households will rise.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Pressure to raise the state pension retirement age will grow, which may be resisted by working aged people.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old society may be a more law abiding one, with less need for police and prisons.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 desire to ‘do </w:t>
            </w:r>
            <w:proofErr w:type="gramStart"/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good</w:t>
            </w:r>
            <w:proofErr w:type="gramEnd"/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’ and ‘stay active’ may lead to a rise in voluntary and community work.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Older grandparents may take more responsibility for childcare.</w:t>
            </w:r>
          </w:p>
        </w:tc>
      </w:tr>
      <w:tr w:rsidR="00D40406" w:rsidRPr="00D40406" w:rsidTr="00D404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Environmental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 sites will need to be found for care homes and retirement homes.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Falling population could cause an increase in depopulation and dereliction in some areas.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Greying voters may become a more powerful political force, possibly focusing on issues such as equality and environmental sustainability.</w:t>
            </w:r>
          </w:p>
        </w:tc>
      </w:tr>
    </w:tbl>
    <w:p w:rsidR="00D40406" w:rsidRPr="00D40406" w:rsidRDefault="00D40406" w:rsidP="00D4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en-GB"/>
        </w:rPr>
        <w:t>Eastern European Migration</w:t>
      </w: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Eight new member states joined the EU on 1</w:t>
      </w:r>
      <w:r w:rsidRPr="00D40406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eastAsia="en-GB"/>
        </w:rPr>
        <w:t>st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January 2004 these included Poland and the Czech Republic. The 1995 </w:t>
      </w:r>
      <w:proofErr w:type="spellStart"/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Schengen</w:t>
      </w:r>
      <w:proofErr w:type="spellEnd"/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Agreement removed border controls between many European countries and even though the UK did not sign the full </w:t>
      </w:r>
      <w:proofErr w:type="spellStart"/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Schengen</w:t>
      </w:r>
      <w:proofErr w:type="spellEnd"/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Agreement a Worker Registration Scheme allowed migrants right or entry and the right to work.</w:t>
      </w:r>
    </w:p>
    <w:p w:rsidR="00D40406" w:rsidRPr="00D40406" w:rsidRDefault="00D40406" w:rsidP="00D4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The costs and benefits of Eastern European Migration to the UK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4382"/>
        <w:gridCol w:w="4743"/>
      </w:tblGrid>
      <w:tr w:rsidR="00D40406" w:rsidRPr="00D40406" w:rsidTr="00D404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Source Countries (A8)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Host Country (UK)</w:t>
            </w:r>
          </w:p>
        </w:tc>
      </w:tr>
      <w:tr w:rsidR="00D40406" w:rsidRPr="00D40406" w:rsidTr="00D404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Costs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Loss of workforce: 7% in Poland and 10% in Lithuania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Brain drain and skills shortages: skilled migrants such as plumbers and doctors have left Poland.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Ageing and decline: migration is reducing fertility at home: Poland’s population could decline from 38 to 33 million by 2050.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Social/ age imbalance: as most migrants are young and male, this creates an imbalance at home which may affect traditional family units and relationships.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Exploitation: some workers are exploited by </w:t>
            </w:r>
            <w:proofErr w:type="spellStart"/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gangmasters</w:t>
            </w:r>
            <w:proofErr w:type="spellEnd"/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are paid less than the minimum wage.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Social and cultural tensions, especially in rural areas with no history of immigration.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Crime: a rise of low level ‘cultural unfamiliarity’ crime e.g. road traffic offences.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Population growth: some projections suggest a UK population of 65 million by 2016.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Downward pressure on wages for the low paid: there is some evidence that A8 migrant ‘undercut’ low-wage Britons.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Pressure on space and housing causing locally rising housing costs: long term there may be pressure to build on greenbelt land.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Locally there will be pressure on schools, the NHS and council services and additional costs linked to translational needs and the need for additional teacher support.</w:t>
            </w:r>
          </w:p>
        </w:tc>
      </w:tr>
      <w:tr w:rsidR="00D40406" w:rsidRPr="00D40406" w:rsidTr="00D404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Benefits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Remittances: temporary workers send 25% of their earnings home. For Poland, this amounted to around €6.4 billion in 2006.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Higher wages: on average A8 migrants earn £6 per hour; must higher than at home, but lower than the UK average of £10.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Skills can be taken back: returning migrants may have developed English skills and other </w:t>
            </w:r>
            <w:proofErr w:type="spellStart"/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workbased</w:t>
            </w:r>
            <w:proofErr w:type="spellEnd"/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skills and experience.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Working A8 migrants abroad are better than unemployed people at home who require benefit payments.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Skills gaps filled: many industries such as fish processing in the Highlands and farming in the Fens have been ‘saved’ by low-cost labour.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Economic turnaround in some areas such as rural south Lincolnshire 10% of the population are A8 migrants which means greater spending power compared to pre-2004.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Business opportunities: banks, supermarkets and other businesses have begun to provide ‘Polish’ food and other services.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Counteracts ageing population is migrants stay and have children, then the UK’s ‘greying’ may slow.</w:t>
            </w:r>
          </w:p>
        </w:tc>
      </w:tr>
    </w:tbl>
    <w:p w:rsidR="00D40406" w:rsidRPr="00D40406" w:rsidRDefault="00D40406" w:rsidP="00D4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Remember that since the recession there have been other developments and you should find out how these migrants have been affected.</w:t>
      </w: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en-GB"/>
        </w:rPr>
        <w:t>Mediterranean Migration from the UK</w:t>
      </w: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Around 750,000 Britons permanently </w:t>
      </w:r>
      <w:proofErr w:type="gramStart"/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live</w:t>
      </w:r>
      <w:proofErr w:type="gramEnd"/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Spain but most of these migrants are economically inactive (60%). 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</w:t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 are retired and some own businesses such as hotels.</w:t>
      </w: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There are a range of pull factors which have encouraged people to move to Spain and several push factors which have encourage people to leave the UK.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4439"/>
        <w:gridCol w:w="4686"/>
      </w:tblGrid>
      <w:tr w:rsidR="00D40406" w:rsidRPr="00D40406" w:rsidTr="00D404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Source Country (UK)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Host Country (Spain)</w:t>
            </w:r>
          </w:p>
        </w:tc>
      </w:tr>
      <w:tr w:rsidR="00D40406" w:rsidRPr="00D40406" w:rsidTr="00D404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Costs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Family breakup, as grandparents move away.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Loss of potential childcare.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Loss of highly experienced workforce, especially if they retire early.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‘grey pound’ is spent abroad.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Emigrant ‘ghettos’ are created, with little social or cultural integration.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Resentment may grow as immigrants seek to enter local politics.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House prices exceed the buying power of local people.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Some benefits and healthcare costs are borne by the host country.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Large scale villa development has ruined much of the coastal landscape and degraded biodiversity.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Water supply systems are strained in semi-arid areas.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Localised pollution has risen, and flood risk rises as urban development occurs.</w:t>
            </w:r>
          </w:p>
        </w:tc>
      </w:tr>
      <w:tr w:rsidR="00D40406" w:rsidRPr="00D40406" w:rsidTr="00D404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Benefits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 part, emigration balances increased immigration, reducing net migration rates.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Fewer older people </w:t>
            </w:r>
            <w:proofErr w:type="spellStart"/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ot</w:t>
            </w:r>
            <w:proofErr w:type="spellEnd"/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take care of, some health and care problems are effectively exported.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Relieves pressure for new homes and therefore to build on Greenfield sites.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406" w:rsidRPr="00D40406" w:rsidRDefault="00D40406" w:rsidP="00D404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Increased spending in the local economy. Some retirees are highly affluent.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Job creation in construction, retail and legal and health services.</w:t>
            </w:r>
            <w:r w:rsidRPr="00D404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Areas which were largely unproductive scrubland </w:t>
            </w:r>
            <w:proofErr w:type="gramStart"/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becomes</w:t>
            </w:r>
            <w:proofErr w:type="gramEnd"/>
            <w:r w:rsidRPr="00D404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valuable land to build on.</w:t>
            </w:r>
          </w:p>
        </w:tc>
      </w:tr>
    </w:tbl>
    <w:p w:rsidR="00913AA7" w:rsidRDefault="00D40406"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40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Remember that since the recession there have been other developments and you should find out how migrants in Spain have been affected.</w:t>
      </w:r>
    </w:p>
    <w:sectPr w:rsidR="00913AA7" w:rsidSect="00D40406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406"/>
    <w:rsid w:val="00913AA7"/>
    <w:rsid w:val="00AD6618"/>
    <w:rsid w:val="00D40406"/>
    <w:rsid w:val="00E2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1720</Words>
  <Characters>9805</Characters>
  <Application>Microsoft Office Word</Application>
  <DocSecurity>0</DocSecurity>
  <Lines>81</Lines>
  <Paragraphs>23</Paragraphs>
  <ScaleCrop>false</ScaleCrop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2012-08-22T18:31:00Z</dcterms:created>
  <dcterms:modified xsi:type="dcterms:W3CDTF">2012-08-22T18:33:00Z</dcterms:modified>
</cp:coreProperties>
</file>