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A0" w:rsidRPr="001B5581" w:rsidRDefault="001B5581" w:rsidP="001B5581">
      <w:pPr>
        <w:jc w:val="center"/>
        <w:rPr>
          <w:rFonts w:ascii="Times New Roman" w:hAnsi="Times New Roman" w:cs="Times New Roman"/>
          <w:b/>
          <w:sz w:val="32"/>
        </w:rPr>
      </w:pPr>
      <w:r w:rsidRPr="001B5581">
        <w:rPr>
          <w:rFonts w:ascii="Times New Roman" w:hAnsi="Times New Roman" w:cs="Times New Roman"/>
          <w:b/>
          <w:sz w:val="32"/>
        </w:rPr>
        <w:t>Powerful energy key players</w:t>
      </w:r>
    </w:p>
    <w:p w:rsidR="001B5581" w:rsidRPr="001B5581" w:rsidRDefault="001B5581">
      <w:pPr>
        <w:rPr>
          <w:rFonts w:ascii="Times New Roman" w:hAnsi="Times New Roman" w:cs="Times New Roman"/>
        </w:rPr>
      </w:pPr>
    </w:p>
    <w:p w:rsidR="001B5581" w:rsidRPr="001B5581" w:rsidRDefault="001B5581">
      <w:pPr>
        <w:rPr>
          <w:rFonts w:ascii="Times New Roman" w:hAnsi="Times New Roman" w:cs="Times New Roman"/>
          <w:b/>
        </w:rPr>
      </w:pPr>
      <w:r w:rsidRPr="001B5581">
        <w:rPr>
          <w:rFonts w:ascii="Times New Roman" w:hAnsi="Times New Roman" w:cs="Times New Roman"/>
          <w:b/>
        </w:rPr>
        <w:t>Investigating the increasing economic and political power of selected energy TNCs and producer groups</w:t>
      </w:r>
    </w:p>
    <w:p w:rsidR="001B5581" w:rsidRPr="001B5581" w:rsidRDefault="001B5581">
      <w:pPr>
        <w:rPr>
          <w:rFonts w:ascii="Times New Roman" w:hAnsi="Times New Roman" w:cs="Times New Roman"/>
        </w:rPr>
      </w:pPr>
    </w:p>
    <w:p w:rsidR="001B5581" w:rsidRPr="001B5581" w:rsidRDefault="001B5581" w:rsidP="001B5581">
      <w:pPr>
        <w:rPr>
          <w:rFonts w:ascii="Times New Roman" w:hAnsi="Times New Roman" w:cs="Times New Roman"/>
          <w:b/>
        </w:rPr>
      </w:pPr>
      <w:r w:rsidRPr="001B5581">
        <w:rPr>
          <w:rFonts w:ascii="Times New Roman" w:hAnsi="Times New Roman" w:cs="Times New Roman"/>
          <w:b/>
        </w:rPr>
        <w:t>Energy TNCs e.g. Shell</w:t>
      </w:r>
    </w:p>
    <w:p w:rsidR="001B5581" w:rsidRDefault="001B5581" w:rsidP="001B5581">
      <w:pPr>
        <w:rPr>
          <w:rFonts w:ascii="Times New Roman" w:hAnsi="Times New Roman" w:cs="Times New Roman"/>
        </w:rPr>
      </w:pPr>
      <w:r w:rsidRPr="001B5581">
        <w:rPr>
          <w:rFonts w:ascii="Times New Roman" w:hAnsi="Times New Roman" w:cs="Times New Roman"/>
        </w:rPr>
        <w:t>Historically</w:t>
      </w:r>
      <w:r>
        <w:rPr>
          <w:rFonts w:ascii="Times New Roman" w:hAnsi="Times New Roman" w:cs="Times New Roman"/>
        </w:rPr>
        <w:t>,</w:t>
      </w:r>
      <w:r w:rsidRPr="001B5581">
        <w:rPr>
          <w:rFonts w:ascii="Times New Roman" w:hAnsi="Times New Roman" w:cs="Times New Roman"/>
        </w:rPr>
        <w:t xml:space="preserve"> </w:t>
      </w:r>
      <w:proofErr w:type="gramStart"/>
      <w:r w:rsidRPr="001B5581">
        <w:rPr>
          <w:rFonts w:ascii="Times New Roman" w:hAnsi="Times New Roman" w:cs="Times New Roman"/>
        </w:rPr>
        <w:t xml:space="preserve">the energy industries have been dominated by large </w:t>
      </w:r>
      <w:r>
        <w:rPr>
          <w:rFonts w:ascii="Times New Roman" w:hAnsi="Times New Roman" w:cs="Times New Roman"/>
        </w:rPr>
        <w:t>multi-national companies</w:t>
      </w:r>
      <w:r w:rsidRPr="001B5581">
        <w:rPr>
          <w:rFonts w:ascii="Times New Roman" w:hAnsi="Times New Roman" w:cs="Times New Roman"/>
        </w:rPr>
        <w:t xml:space="preserve"> such as Shell</w:t>
      </w:r>
      <w:proofErr w:type="gramEnd"/>
      <w:r>
        <w:rPr>
          <w:rFonts w:ascii="Times New Roman" w:hAnsi="Times New Roman" w:cs="Times New Roman"/>
        </w:rPr>
        <w:t xml:space="preserve">. Now </w:t>
      </w:r>
      <w:proofErr w:type="gramStart"/>
      <w:r>
        <w:rPr>
          <w:rFonts w:ascii="Times New Roman" w:hAnsi="Times New Roman" w:cs="Times New Roman"/>
        </w:rPr>
        <w:t>t</w:t>
      </w:r>
      <w:r w:rsidRPr="001B5581">
        <w:rPr>
          <w:rFonts w:ascii="Times New Roman" w:hAnsi="Times New Roman" w:cs="Times New Roman"/>
        </w:rPr>
        <w:t>he power of the TNCs has been challenged by OPEC</w:t>
      </w:r>
      <w:r>
        <w:rPr>
          <w:rFonts w:ascii="Times New Roman" w:hAnsi="Times New Roman" w:cs="Times New Roman"/>
        </w:rPr>
        <w:t xml:space="preserve"> </w:t>
      </w:r>
      <w:r w:rsidRPr="001B5581">
        <w:rPr>
          <w:rFonts w:ascii="Times New Roman" w:hAnsi="Times New Roman" w:cs="Times New Roman"/>
        </w:rPr>
        <w:t>and recently national energy companies</w:t>
      </w:r>
      <w:proofErr w:type="gramEnd"/>
      <w:r w:rsidRPr="001B5581">
        <w:rPr>
          <w:rFonts w:ascii="Times New Roman" w:hAnsi="Times New Roman" w:cs="Times New Roman"/>
        </w:rPr>
        <w:t xml:space="preserve">. This is due to the fact that TNCs have come under attack from environmental groups and companies like BP have </w:t>
      </w:r>
      <w:r>
        <w:rPr>
          <w:rFonts w:ascii="Times New Roman" w:hAnsi="Times New Roman" w:cs="Times New Roman"/>
        </w:rPr>
        <w:t>had to work</w:t>
      </w:r>
      <w:r w:rsidRPr="001B5581">
        <w:rPr>
          <w:rFonts w:ascii="Times New Roman" w:hAnsi="Times New Roman" w:cs="Times New Roman"/>
        </w:rPr>
        <w:t xml:space="preserve"> hard to establish a positive public image through investments in renewable energies. Shell consists of a global group of energy and petrochemicals companies with a strategy to reinforce their position as a leader in the oil and gas industry in order. One of their focuses has been to explore for new oil and gas reserves. </w:t>
      </w:r>
    </w:p>
    <w:p w:rsidR="001B5581" w:rsidRDefault="001B5581" w:rsidP="001B5581">
      <w:pPr>
        <w:rPr>
          <w:rFonts w:ascii="Times New Roman" w:hAnsi="Times New Roman" w:cs="Times New Roman"/>
        </w:rPr>
      </w:pPr>
    </w:p>
    <w:p w:rsidR="001B5581" w:rsidRPr="001B5581" w:rsidRDefault="001B5581" w:rsidP="001B5581">
      <w:pPr>
        <w:rPr>
          <w:rFonts w:ascii="Times New Roman" w:hAnsi="Times New Roman" w:cs="Times New Roman"/>
          <w:b/>
        </w:rPr>
      </w:pPr>
      <w:r w:rsidRPr="001B5581">
        <w:rPr>
          <w:rFonts w:ascii="Times New Roman" w:hAnsi="Times New Roman" w:cs="Times New Roman"/>
          <w:b/>
        </w:rPr>
        <w:t>Key Facts:</w:t>
      </w:r>
    </w:p>
    <w:p w:rsidR="001B5581" w:rsidRPr="001B5581" w:rsidRDefault="001B5581" w:rsidP="001B5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581">
        <w:rPr>
          <w:rFonts w:ascii="Times New Roman" w:hAnsi="Times New Roman" w:cs="Times New Roman"/>
        </w:rPr>
        <w:t>Produce 2% amount of world’s oil</w:t>
      </w:r>
    </w:p>
    <w:p w:rsidR="001B5581" w:rsidRPr="001B5581" w:rsidRDefault="001B5581" w:rsidP="001B5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581">
        <w:rPr>
          <w:rFonts w:ascii="Times New Roman" w:hAnsi="Times New Roman" w:cs="Times New Roman"/>
        </w:rPr>
        <w:t>Produce 3% amount of world’s gas</w:t>
      </w:r>
    </w:p>
    <w:p w:rsidR="001B5581" w:rsidRPr="001B5581" w:rsidRDefault="001B5581" w:rsidP="001B5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581">
        <w:rPr>
          <w:rFonts w:ascii="Times New Roman" w:hAnsi="Times New Roman" w:cs="Times New Roman"/>
        </w:rPr>
        <w:t>3.1 million barrels of gas and oil every day</w:t>
      </w:r>
    </w:p>
    <w:p w:rsidR="001B5581" w:rsidRDefault="001B5581" w:rsidP="001B5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581">
        <w:rPr>
          <w:rFonts w:ascii="Times New Roman" w:hAnsi="Times New Roman" w:cs="Times New Roman"/>
        </w:rPr>
        <w:t>$2 billion spent on carbon reduction</w:t>
      </w:r>
      <w:r>
        <w:rPr>
          <w:rFonts w:ascii="Times New Roman" w:hAnsi="Times New Roman" w:cs="Times New Roman"/>
        </w:rPr>
        <w:t xml:space="preserve">/ </w:t>
      </w:r>
      <w:r w:rsidRPr="001B5581">
        <w:rPr>
          <w:rFonts w:ascii="Times New Roman" w:hAnsi="Times New Roman" w:cs="Times New Roman"/>
        </w:rPr>
        <w:t>renewable energy technologies over the last 5 years.</w:t>
      </w:r>
    </w:p>
    <w:p w:rsidR="001B5581" w:rsidRDefault="001B5581" w:rsidP="001B5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581">
        <w:rPr>
          <w:rFonts w:ascii="Times New Roman" w:hAnsi="Times New Roman" w:cs="Times New Roman"/>
        </w:rPr>
        <w:t xml:space="preserve">In 2009 greenhouse gas emissions were approximately 35 per cent below 1990 levels. </w:t>
      </w:r>
    </w:p>
    <w:p w:rsidR="001B5581" w:rsidRPr="001B5581" w:rsidRDefault="001B5581" w:rsidP="001B5581">
      <w:pPr>
        <w:rPr>
          <w:rFonts w:ascii="Times New Roman" w:hAnsi="Times New Roman" w:cs="Times New Roman"/>
        </w:rPr>
      </w:pPr>
    </w:p>
    <w:p w:rsidR="001B5581" w:rsidRPr="001B5581" w:rsidRDefault="001B5581" w:rsidP="001B5581">
      <w:pPr>
        <w:rPr>
          <w:rFonts w:ascii="Times New Roman" w:hAnsi="Times New Roman" w:cs="Times New Roman"/>
          <w:b/>
        </w:rPr>
      </w:pPr>
      <w:r w:rsidRPr="001B5581">
        <w:rPr>
          <w:rFonts w:ascii="Times New Roman" w:hAnsi="Times New Roman" w:cs="Times New Roman"/>
          <w:b/>
        </w:rPr>
        <w:t xml:space="preserve">The Organization of the Petroleum Exporting Countries </w:t>
      </w:r>
    </w:p>
    <w:p w:rsidR="001B5581" w:rsidRDefault="001B5581" w:rsidP="001B5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OPEC</w:t>
      </w:r>
      <w:r w:rsidRPr="001B5581">
        <w:rPr>
          <w:rFonts w:ascii="Times New Roman" w:hAnsi="Times New Roman" w:cs="Times New Roman"/>
        </w:rPr>
        <w:t xml:space="preserve"> is a permanent intergovernmental organization of 12 oil-exporting developing nations OPEC was formed in 1960 to protect the interests of oil-producing companies and have f</w:t>
      </w:r>
      <w:r>
        <w:rPr>
          <w:rFonts w:ascii="Times New Roman" w:hAnsi="Times New Roman" w:cs="Times New Roman"/>
        </w:rPr>
        <w:t>ormed what some view as a Cartel</w:t>
      </w:r>
      <w:r w:rsidRPr="001B5581">
        <w:rPr>
          <w:rFonts w:ascii="Times New Roman" w:hAnsi="Times New Roman" w:cs="Times New Roman"/>
        </w:rPr>
        <w:t>. Its sets oil production quotas for its members in response to economic growth rates and demand-and-supply conditions. It therefore aims to ensure fair and stable prices for its members. At the end of 2006, the OPEC members had over 78% of the world’s total oil reserves and they produce around 45% of the world’s crude oil an</w:t>
      </w:r>
      <w:r>
        <w:rPr>
          <w:rFonts w:ascii="Times New Roman" w:hAnsi="Times New Roman" w:cs="Times New Roman"/>
        </w:rPr>
        <w:t>d 18% of its natural gas. OPEC ha</w:t>
      </w:r>
      <w:r w:rsidRPr="001B55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been</w:t>
      </w:r>
      <w:r w:rsidRPr="001B5581">
        <w:rPr>
          <w:rFonts w:ascii="Times New Roman" w:hAnsi="Times New Roman" w:cs="Times New Roman"/>
        </w:rPr>
        <w:t xml:space="preserve"> </w:t>
      </w:r>
      <w:proofErr w:type="spellStart"/>
      <w:r w:rsidRPr="001B5581">
        <w:rPr>
          <w:rFonts w:ascii="Times New Roman" w:hAnsi="Times New Roman" w:cs="Times New Roman"/>
        </w:rPr>
        <w:t>criticised</w:t>
      </w:r>
      <w:proofErr w:type="spellEnd"/>
      <w:r w:rsidRPr="001B5581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it controls the price of oil, </w:t>
      </w:r>
      <w:r w:rsidRPr="001B5581">
        <w:rPr>
          <w:rFonts w:ascii="Times New Roman" w:hAnsi="Times New Roman" w:cs="Times New Roman"/>
        </w:rPr>
        <w:t xml:space="preserve">it is </w:t>
      </w:r>
      <w:r>
        <w:rPr>
          <w:rFonts w:ascii="Times New Roman" w:hAnsi="Times New Roman" w:cs="Times New Roman"/>
        </w:rPr>
        <w:t xml:space="preserve">apparently </w:t>
      </w:r>
      <w:r w:rsidRPr="001B5581">
        <w:rPr>
          <w:rFonts w:ascii="Times New Roman" w:hAnsi="Times New Roman" w:cs="Times New Roman"/>
        </w:rPr>
        <w:t>worried that increasing the supply of oil would mean investors would stop investing causing a collapse in the price.</w:t>
      </w:r>
    </w:p>
    <w:p w:rsidR="001B5581" w:rsidRDefault="001B5581" w:rsidP="001B5581">
      <w:pPr>
        <w:rPr>
          <w:rFonts w:ascii="Times New Roman" w:hAnsi="Times New Roman" w:cs="Times New Roman"/>
        </w:rPr>
      </w:pPr>
    </w:p>
    <w:p w:rsidR="001B5581" w:rsidRPr="001B5581" w:rsidRDefault="001B5581" w:rsidP="001B5581">
      <w:pPr>
        <w:rPr>
          <w:rFonts w:ascii="Times New Roman" w:hAnsi="Times New Roman" w:cs="Times New Roman"/>
          <w:b/>
        </w:rPr>
      </w:pPr>
      <w:r w:rsidRPr="001B5581">
        <w:rPr>
          <w:rFonts w:ascii="Times New Roman" w:hAnsi="Times New Roman" w:cs="Times New Roman"/>
          <w:b/>
        </w:rPr>
        <w:t>Over to you:</w:t>
      </w:r>
    </w:p>
    <w:p w:rsidR="001B5581" w:rsidRPr="001B5581" w:rsidRDefault="001B5581" w:rsidP="001B5581">
      <w:pPr>
        <w:rPr>
          <w:rFonts w:ascii="Times New Roman" w:hAnsi="Times New Roman" w:cs="Times New Roman"/>
          <w:lang w:val="en-GB"/>
        </w:rPr>
      </w:pPr>
      <w:r w:rsidRPr="001B5581">
        <w:rPr>
          <w:rFonts w:ascii="Times New Roman" w:hAnsi="Times New Roman" w:cs="Times New Roman"/>
          <w:bCs/>
        </w:rPr>
        <w:t>Research in 30 minutes for your given TNC:</w:t>
      </w:r>
    </w:p>
    <w:p w:rsidR="001B5581" w:rsidRPr="001B5581" w:rsidRDefault="001B5581" w:rsidP="001B5581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1B5581">
        <w:rPr>
          <w:rFonts w:ascii="Times New Roman" w:hAnsi="Times New Roman" w:cs="Times New Roman"/>
        </w:rPr>
        <w:t xml:space="preserve"> The size of proven reserves, amount abstracted etc. in the HQ country</w:t>
      </w:r>
    </w:p>
    <w:p w:rsidR="001B5581" w:rsidRPr="001B5581" w:rsidRDefault="001B5581" w:rsidP="001B5581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1B5581">
        <w:rPr>
          <w:rFonts w:ascii="Times New Roman" w:hAnsi="Times New Roman" w:cs="Times New Roman"/>
        </w:rPr>
        <w:t xml:space="preserve"> Oil and gas reserve locations</w:t>
      </w:r>
    </w:p>
    <w:p w:rsidR="001B5581" w:rsidRPr="001B5581" w:rsidRDefault="001B5581" w:rsidP="001B5581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1B5581">
        <w:rPr>
          <w:rFonts w:ascii="Times New Roman" w:hAnsi="Times New Roman" w:cs="Times New Roman"/>
        </w:rPr>
        <w:t xml:space="preserve"> Key company statistics from Forbes.com i.e. employees, profits, assets</w:t>
      </w:r>
    </w:p>
    <w:p w:rsidR="001B5581" w:rsidRPr="001B5581" w:rsidRDefault="001B5581" w:rsidP="001B5581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1B5581">
        <w:rPr>
          <w:rFonts w:ascii="Times New Roman" w:hAnsi="Times New Roman" w:cs="Times New Roman"/>
        </w:rPr>
        <w:t xml:space="preserve"> Any negative environmental impacts – current or future</w:t>
      </w:r>
    </w:p>
    <w:p w:rsidR="001B5581" w:rsidRPr="00213C3F" w:rsidRDefault="001B5581" w:rsidP="001B5581">
      <w:pPr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1B5581">
        <w:rPr>
          <w:rFonts w:ascii="Times New Roman" w:hAnsi="Times New Roman" w:cs="Times New Roman"/>
        </w:rPr>
        <w:t xml:space="preserve"> Future plans for energy production or alternatives such as solar, hydrogen…</w:t>
      </w:r>
      <w:bookmarkStart w:id="0" w:name="_GoBack"/>
      <w:bookmarkEnd w:id="0"/>
    </w:p>
    <w:p w:rsidR="00213C3F" w:rsidRPr="001B5581" w:rsidRDefault="00213C3F" w:rsidP="00213C3F">
      <w:pPr>
        <w:ind w:left="1440"/>
        <w:rPr>
          <w:rFonts w:ascii="Times New Roman" w:hAnsi="Times New Roman" w:cs="Times New Roman"/>
        </w:rPr>
      </w:pPr>
      <w:r w:rsidRPr="00213C3F">
        <w:rPr>
          <w:rFonts w:ascii="Times New Roman" w:hAnsi="Times New Roman" w:cs="Times New Roman"/>
        </w:rPr>
        <w:drawing>
          <wp:inline distT="0" distB="0" distL="0" distR="0" wp14:anchorId="7592CDB2" wp14:editId="1BEA2292">
            <wp:extent cx="4064299" cy="2190939"/>
            <wp:effectExtent l="177800" t="177800" r="381000" b="374650"/>
            <wp:docPr id="37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7" t="25220" r="19479"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82" cy="2191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213C3F" w:rsidRPr="001B5581" w:rsidSect="00213C3F">
      <w:pgSz w:w="11900" w:h="16840"/>
      <w:pgMar w:top="851" w:right="98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77B"/>
    <w:multiLevelType w:val="hybridMultilevel"/>
    <w:tmpl w:val="83D2917C"/>
    <w:lvl w:ilvl="0" w:tplc="AD3C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C1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A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8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EB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C6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CF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9525C8"/>
    <w:multiLevelType w:val="hybridMultilevel"/>
    <w:tmpl w:val="533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1"/>
    <w:rsid w:val="001857A0"/>
    <w:rsid w:val="001B5581"/>
    <w:rsid w:val="00213C3F"/>
    <w:rsid w:val="003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B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Rawlings smith</cp:lastModifiedBy>
  <cp:revision>1</cp:revision>
  <dcterms:created xsi:type="dcterms:W3CDTF">2013-07-08T03:52:00Z</dcterms:created>
  <dcterms:modified xsi:type="dcterms:W3CDTF">2013-07-08T04:06:00Z</dcterms:modified>
</cp:coreProperties>
</file>